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</w:tblGrid>
      <w:tr w:rsidR="00744355" w:rsidTr="00744355">
        <w:trPr>
          <w:jc w:val="center"/>
        </w:trPr>
        <w:tc>
          <w:tcPr>
            <w:tcW w:w="0" w:type="auto"/>
            <w:shd w:val="clear" w:color="auto" w:fill="FFFFFF"/>
          </w:tcPr>
          <w:tbl>
            <w:tblPr>
              <w:tblpPr w:leftFromText="45" w:rightFromText="45" w:vertAnchor="text"/>
              <w:tblW w:w="45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500"/>
            </w:tblGrid>
            <w:tr w:rsidR="00744355"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</w:tblGrid>
                  <w:tr w:rsidR="00744355">
                    <w:tc>
                      <w:tcPr>
                        <w:tcW w:w="0" w:type="auto"/>
                        <w:tcMar>
                          <w:top w:w="135" w:type="dxa"/>
                          <w:left w:w="135" w:type="dxa"/>
                          <w:bottom w:w="135" w:type="dxa"/>
                          <w:right w:w="135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230"/>
                        </w:tblGrid>
                        <w:tr w:rsidR="00744355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135" w:type="dxa"/>
                                <w:bottom w:w="0" w:type="dxa"/>
                                <w:right w:w="135" w:type="dxa"/>
                              </w:tcMar>
                              <w:hideMark/>
                            </w:tcPr>
                            <w:p w:rsidR="00744355" w:rsidRDefault="00744355">
                              <w:pPr>
                                <w:jc w:val="center"/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eastAsia="Times New Roman"/>
                                  <w:noProof/>
                                </w:rPr>
                                <w:drawing>
                                  <wp:inline distT="0" distB="0" distL="0" distR="0">
                                    <wp:extent cx="2514600" cy="4181475"/>
                                    <wp:effectExtent l="0" t="0" r="0" b="9525"/>
                                    <wp:docPr id="5" name="Immagine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514600" cy="4181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744355" w:rsidRDefault="0074435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pPr w:leftFromText="45" w:rightFromText="45" w:vertAnchor="text"/>
              <w:tblW w:w="45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500"/>
            </w:tblGrid>
            <w:tr w:rsidR="00744355"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500"/>
                  </w:tblGrid>
                  <w:tr w:rsidR="00744355">
                    <w:tc>
                      <w:tcPr>
                        <w:tcW w:w="0" w:type="auto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pPr w:leftFromText="45" w:rightFromText="45" w:vertAnchor="text"/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500"/>
                        </w:tblGrid>
                        <w:tr w:rsidR="00744355"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270" w:type="dxa"/>
                                <w:bottom w:w="135" w:type="dxa"/>
                                <w:right w:w="270" w:type="dxa"/>
                              </w:tcMar>
                              <w:hideMark/>
                            </w:tcPr>
                            <w:p w:rsidR="00744355" w:rsidRDefault="00744355">
                              <w:pPr>
                                <w:spacing w:line="360" w:lineRule="auto"/>
                                <w:jc w:val="both"/>
                                <w:rPr>
                                  <w:rFonts w:ascii="Helvetica" w:eastAsia="Times New Roman" w:hAnsi="Helvetica" w:cs="Helvetica"/>
                                  <w:color w:val="20202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Georgia" w:eastAsia="Times New Roman" w:hAnsi="Georgia" w:cs="Helvetica"/>
                                  <w:color w:val="202020"/>
                                  <w:sz w:val="23"/>
                                  <w:szCs w:val="23"/>
                                </w:rPr>
                                <w:t>"</w:t>
                              </w:r>
                              <w:r>
                                <w:rPr>
                                  <w:rStyle w:val="Enfasicorsivo"/>
                                  <w:rFonts w:ascii="Georgia" w:eastAsia="Times New Roman" w:hAnsi="Georgia" w:cs="Helvetica"/>
                                  <w:color w:val="202020"/>
                                  <w:sz w:val="23"/>
                                  <w:szCs w:val="23"/>
                                </w:rPr>
                                <w:t>Alteo</w:t>
                              </w:r>
                              <w:r>
                                <w:rPr>
                                  <w:rFonts w:ascii="Georgia" w:eastAsia="Times New Roman" w:hAnsi="Georgia" w:cs="Helvetica"/>
                                  <w:color w:val="202020"/>
                                  <w:sz w:val="23"/>
                                  <w:szCs w:val="23"/>
                                </w:rPr>
                                <w:t xml:space="preserve">" Amarone della Valpolicella 2013 è stato premiato dalla guida Vini Buoni d'Italia con 4 stelle su 4 e con lo speciale riconoscimento </w:t>
                              </w:r>
                              <w:r>
                                <w:rPr>
                                  <w:rStyle w:val="Enfasigrassetto"/>
                                  <w:rFonts w:ascii="Georgia" w:eastAsia="Times New Roman" w:hAnsi="Georgia" w:cs="Helvetica"/>
                                  <w:color w:val="800000"/>
                                  <w:sz w:val="23"/>
                                  <w:szCs w:val="23"/>
                                </w:rPr>
                                <w:t>CORONA</w:t>
                              </w:r>
                              <w:r>
                                <w:rPr>
                                  <w:rFonts w:ascii="Georgia" w:eastAsia="Times New Roman" w:hAnsi="Georgia" w:cs="Helvetica"/>
                                  <w:color w:val="202020"/>
                                  <w:sz w:val="23"/>
                                  <w:szCs w:val="23"/>
                                </w:rPr>
                                <w:t>.</w:t>
                              </w:r>
                              <w:r>
                                <w:rPr>
                                  <w:rFonts w:ascii="Helvetica" w:eastAsia="Times New Roman" w:hAnsi="Helvetica" w:cs="Helvetica"/>
                                  <w:color w:val="20202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  <w:p w:rsidR="00744355" w:rsidRDefault="00744355">
                              <w:pPr>
                                <w:spacing w:line="360" w:lineRule="auto"/>
                                <w:jc w:val="both"/>
                                <w:rPr>
                                  <w:rFonts w:ascii="Helvetica" w:eastAsia="Times New Roman" w:hAnsi="Helvetica" w:cs="Helvetica"/>
                                  <w:color w:val="20202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Georgia" w:eastAsia="Times New Roman" w:hAnsi="Georgia" w:cs="Helvetica"/>
                                  <w:color w:val="202020"/>
                                  <w:sz w:val="23"/>
                                  <w:szCs w:val="23"/>
                                </w:rPr>
                                <w:t>I vini della Corona sono i vini italiani d'eccellenza, scelti con voto palese di maggioranza nella sessione finale di degustazione a commissioni riunite su scala nazionale. Sono dunque vini che hanno entusiasmato per l'assoluta espressione del vitigno e del territorio di appartenenza, per la gamma aromatica, per il corpo e per l'armonia. Vini di forte identità, il cui ricordo rimane impresso con la capacità di emozionare a lungo.</w:t>
                              </w:r>
                              <w:r>
                                <w:rPr>
                                  <w:rFonts w:ascii="Helvetica" w:eastAsia="Times New Roman" w:hAnsi="Helvetica" w:cs="Helvetica"/>
                                  <w:color w:val="20202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c>
                        </w:tr>
                      </w:tbl>
                      <w:p w:rsidR="00744355" w:rsidRDefault="00744355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44355" w:rsidTr="00744355">
        <w:trPr>
          <w:jc w:val="center"/>
        </w:trPr>
        <w:tc>
          <w:tcPr>
            <w:tcW w:w="0" w:type="auto"/>
            <w:tcBorders>
              <w:top w:val="nil"/>
              <w:left w:val="nil"/>
              <w:bottom w:val="single" w:sz="12" w:space="0" w:color="EAEAEA"/>
              <w:right w:val="nil"/>
            </w:tcBorders>
            <w:shd w:val="clear" w:color="auto" w:fill="FFFFFF"/>
            <w:tcMar>
              <w:top w:w="0" w:type="dxa"/>
              <w:left w:w="0" w:type="dxa"/>
              <w:bottom w:w="135" w:type="dxa"/>
              <w:right w:w="0" w:type="dxa"/>
            </w:tcMar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0" w:type="dxa"/>
                    <w:left w:w="270" w:type="dxa"/>
                    <w:bottom w:w="270" w:type="dxa"/>
                    <w:right w:w="270" w:type="dxa"/>
                  </w:tcMar>
                  <w:hideMark/>
                </w:tcPr>
                <w:tbl>
                  <w:tblPr>
                    <w:tblW w:w="0" w:type="auto"/>
                    <w:jc w:val="center"/>
                    <w:tblCellSpacing w:w="0" w:type="dxa"/>
                    <w:shd w:val="clear" w:color="auto" w:fill="930606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67"/>
                  </w:tblGrid>
                  <w:tr w:rsidR="00744355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930606"/>
                        <w:tcMar>
                          <w:top w:w="270" w:type="dxa"/>
                          <w:left w:w="270" w:type="dxa"/>
                          <w:bottom w:w="270" w:type="dxa"/>
                          <w:right w:w="270" w:type="dxa"/>
                        </w:tcMar>
                        <w:vAlign w:val="center"/>
                        <w:hideMark/>
                      </w:tcPr>
                      <w:p w:rsidR="00744355" w:rsidRDefault="00744355">
                        <w:pPr>
                          <w:jc w:val="center"/>
                          <w:rPr>
                            <w:rFonts w:ascii="Arial" w:eastAsia="Times New Roman" w:hAnsi="Arial" w:cs="Arial"/>
                            <w:sz w:val="24"/>
                            <w:szCs w:val="24"/>
                          </w:rPr>
                        </w:pPr>
                        <w:hyperlink r:id="rId5" w:tgtFrame="_blank" w:history="1">
                          <w:r>
                            <w:rPr>
                              <w:rStyle w:val="Collegamentoipertestuale"/>
                              <w:rFonts w:ascii="Arial" w:eastAsia="Times New Roman" w:hAnsi="Arial" w:cs="Arial"/>
                              <w:b/>
                              <w:bCs/>
                              <w:color w:val="FFFFFF"/>
                              <w:sz w:val="24"/>
                              <w:szCs w:val="24"/>
                            </w:rPr>
                            <w:t xml:space="preserve">Buy </w:t>
                          </w:r>
                          <w:proofErr w:type="spellStart"/>
                          <w:r>
                            <w:rPr>
                              <w:rStyle w:val="Collegamentoipertestuale"/>
                              <w:rFonts w:ascii="Arial" w:eastAsia="Times New Roman" w:hAnsi="Arial" w:cs="Arial"/>
                              <w:b/>
                              <w:bCs/>
                              <w:color w:val="FFFFFF"/>
                              <w:sz w:val="24"/>
                              <w:szCs w:val="24"/>
                            </w:rPr>
                            <w:t>Now</w:t>
                          </w:r>
                          <w:proofErr w:type="spellEnd"/>
                        </w:hyperlink>
                      </w:p>
                    </w:tc>
                  </w:tr>
                </w:tbl>
                <w:p w:rsidR="00744355" w:rsidRDefault="00744355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135" w:type="dxa"/>
                    <w:bottom w:w="135" w:type="dxa"/>
                    <w:right w:w="135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3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135" w:type="dxa"/>
                          <w:bottom w:w="0" w:type="dxa"/>
                          <w:right w:w="135" w:type="dxa"/>
                        </w:tcMar>
                        <w:hideMark/>
                      </w:tcPr>
                      <w:p w:rsidR="00744355" w:rsidRDefault="00744355">
                        <w:pPr>
                          <w:jc w:val="center"/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drawing>
                            <wp:inline distT="0" distB="0" distL="0" distR="0">
                              <wp:extent cx="5372100" cy="4400550"/>
                              <wp:effectExtent l="0" t="0" r="0" b="0"/>
                              <wp:docPr id="4" name="Immagine 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6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372100" cy="44005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0" w:type="dxa"/>
                    <w:bottom w:w="0" w:type="dxa"/>
                    <w:right w:w="0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135" w:type="dxa"/>
                          <w:right w:w="270" w:type="dxa"/>
                        </w:tcMar>
                        <w:hideMark/>
                      </w:tcPr>
                      <w:p w:rsidR="00744355" w:rsidRDefault="00744355">
                        <w:pPr>
                          <w:spacing w:line="360" w:lineRule="auto"/>
                          <w:jc w:val="both"/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br/>
                        </w:r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Su iniziativa di Natalino Fasoli, proprietario ed enologo della cantina, si è tenuta una speciale degustazione solo per lo staff Fasoli Gino. In questa occasione sono state messe a confronto due annate </w:t>
                        </w:r>
                        <w:proofErr w:type="gramStart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dell' Alteo</w:t>
                        </w:r>
                        <w:proofErr w:type="gramEnd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, il 2013 e il 2015. 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br/>
                          <w:t xml:space="preserve">  </w:t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135" w:type="dxa"/>
                    <w:bottom w:w="135" w:type="dxa"/>
                    <w:right w:w="135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3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135" w:type="dxa"/>
                          <w:bottom w:w="0" w:type="dxa"/>
                          <w:right w:w="135" w:type="dxa"/>
                        </w:tcMar>
                        <w:hideMark/>
                      </w:tcPr>
                      <w:p w:rsidR="00744355" w:rsidRDefault="00744355">
                        <w:pPr>
                          <w:jc w:val="center"/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lastRenderedPageBreak/>
                          <w:drawing>
                            <wp:inline distT="0" distB="0" distL="0" distR="0">
                              <wp:extent cx="5372100" cy="4143375"/>
                              <wp:effectExtent l="0" t="0" r="0" b="9525"/>
                              <wp:docPr id="3" name="Immagine 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372100" cy="414337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0" w:type="dxa"/>
                    <w:bottom w:w="0" w:type="dxa"/>
                    <w:right w:w="0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135" w:type="dxa"/>
                          <w:right w:w="270" w:type="dxa"/>
                        </w:tcMar>
                        <w:hideMark/>
                      </w:tcPr>
                      <w:p w:rsidR="00744355" w:rsidRDefault="00744355">
                        <w:pPr>
                          <w:spacing w:line="360" w:lineRule="auto"/>
                          <w:jc w:val="both"/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Di seguito le parole di Natalino che ha guidato la </w:t>
                        </w:r>
                        <w:proofErr w:type="gramStart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degustazione :</w:t>
                        </w:r>
                        <w:proofErr w:type="gramEnd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br/>
                          <w:t>"</w:t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L' Alteo 2013 presenta un' evoluzione molto positiva. Ha preservato perfettamente la parte al naso che aveva già in origine prima della messa in bottiglia. La spezia e </w:t>
                        </w:r>
                        <w:proofErr w:type="gramStart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l' aromaticità</w:t>
                        </w:r>
                        <w:proofErr w:type="gramEnd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 sono molto presenti, così come la freschezza. La parte speziata è vincente su tutti gli altri profumi.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In bocca rispetta la nostra tipologia, entra con un buon corpo, decisamente aromatico, pieno, finisce con tannini molto vivi, salato. Lungo e persistente nel finale. Al palato, e quasi in gola, si percepisce un qualcosa di pepato. Chiaramente l'alcolicità è ben presente. Tuttavia la potenza del corpo è bilanciata dalla spiccata vinosità che lo sa rendere di facile beva".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135" w:type="dxa"/>
                    <w:bottom w:w="135" w:type="dxa"/>
                    <w:right w:w="135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3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135" w:type="dxa"/>
                          <w:bottom w:w="0" w:type="dxa"/>
                          <w:right w:w="135" w:type="dxa"/>
                        </w:tcMar>
                        <w:hideMark/>
                      </w:tcPr>
                      <w:p w:rsidR="00744355" w:rsidRDefault="00744355">
                        <w:pPr>
                          <w:jc w:val="center"/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lastRenderedPageBreak/>
                          <w:drawing>
                            <wp:inline distT="0" distB="0" distL="0" distR="0">
                              <wp:extent cx="5372100" cy="3209925"/>
                              <wp:effectExtent l="0" t="0" r="0" b="9525"/>
                              <wp:docPr id="2" name="Immagine 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8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372100" cy="32099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0" w:type="dxa"/>
                    <w:bottom w:w="0" w:type="dxa"/>
                    <w:right w:w="0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135" w:type="dxa"/>
                          <w:right w:w="270" w:type="dxa"/>
                        </w:tcMar>
                        <w:hideMark/>
                      </w:tcPr>
                      <w:p w:rsidR="00744355" w:rsidRDefault="00744355">
                        <w:pPr>
                          <w:spacing w:line="360" w:lineRule="auto"/>
                          <w:jc w:val="both"/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</w:pP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"Se lo confrontiamo con il 2013 con la nuova annata che viene dal blend ed è stata estratta dalle barriques da 7/8 giorni sentiremo che il 2015 ha bisogno di qualche mese in bottiglia per aprirsi. Tuttavia le caratteristiche </w:t>
                        </w:r>
                        <w:proofErr w:type="spellStart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dell</w:t>
                        </w:r>
                        <w:proofErr w:type="spellEnd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 'Alteo ci sono tutte.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A noi in questo momento importa il confronto a livello di similitudine, indipendentemente dalla magia del tempo che smussa, apre ed evolve un vino.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Il colore è un rosso rubino intenso. In bocca è quasi più potente e un pelo più aggressivo rispetto al 2013. Anche qui i tannini sono molto presenti.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Quell'aspetto quasi vellutato che ha il 2013 deve ancora maturare. Si presenta più scontroso.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Tuttavia in questa fase la scontrosità è d'obbligo, </w:t>
                        </w:r>
                        <w:proofErr w:type="spellStart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perchè</w:t>
                        </w:r>
                        <w:proofErr w:type="spellEnd"/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 altrimenti, se già ora fosse al livello di evoluzione del 2013, significherebbe che la sua vita in bottiglia sarebbe in paragone molto più ridotta.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135" w:type="dxa"/>
                    <w:bottom w:w="135" w:type="dxa"/>
                    <w:right w:w="135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3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135" w:type="dxa"/>
                          <w:bottom w:w="0" w:type="dxa"/>
                          <w:right w:w="135" w:type="dxa"/>
                        </w:tcMar>
                        <w:hideMark/>
                      </w:tcPr>
                      <w:p w:rsidR="00744355" w:rsidRDefault="00744355">
                        <w:pPr>
                          <w:jc w:val="center"/>
                          <w:rPr>
                            <w:rFonts w:eastAsia="Times New Roman"/>
                          </w:rPr>
                        </w:pPr>
                        <w:r>
                          <w:rPr>
                            <w:rFonts w:eastAsia="Times New Roman"/>
                            <w:noProof/>
                          </w:rPr>
                          <w:lastRenderedPageBreak/>
                          <w:drawing>
                            <wp:inline distT="0" distB="0" distL="0" distR="0">
                              <wp:extent cx="5372100" cy="3552825"/>
                              <wp:effectExtent l="0" t="0" r="0" b="9525"/>
                              <wp:docPr id="1" name="Immagin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9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372100" cy="35528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eastAsia="Times New Roman"/>
                <w:vanish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744355">
              <w:tc>
                <w:tcPr>
                  <w:tcW w:w="0" w:type="auto"/>
                  <w:tcMar>
                    <w:top w:w="135" w:type="dxa"/>
                    <w:left w:w="0" w:type="dxa"/>
                    <w:bottom w:w="0" w:type="dxa"/>
                    <w:right w:w="0" w:type="dxa"/>
                  </w:tcMar>
                  <w:hideMark/>
                </w:tcPr>
                <w:tbl>
                  <w:tblPr>
                    <w:tblpPr w:leftFromText="45" w:rightFromText="45" w:vertAnchor="text"/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00"/>
                  </w:tblGrid>
                  <w:tr w:rsidR="00744355">
                    <w:tc>
                      <w:tcPr>
                        <w:tcW w:w="0" w:type="auto"/>
                        <w:tcMar>
                          <w:top w:w="0" w:type="dxa"/>
                          <w:left w:w="270" w:type="dxa"/>
                          <w:bottom w:w="135" w:type="dxa"/>
                          <w:right w:w="270" w:type="dxa"/>
                        </w:tcMar>
                        <w:hideMark/>
                      </w:tcPr>
                      <w:p w:rsidR="00744355" w:rsidRDefault="00744355">
                        <w:pPr>
                          <w:spacing w:line="360" w:lineRule="auto"/>
                          <w:jc w:val="both"/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I nostri vini nonostante la potenza, la corposità, l'alcolicità e tutto ciò che caratterizza il tipico vino rosso della Fasoli </w:t>
                        </w:r>
                        <w:proofErr w:type="gramStart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Gino,  si</w:t>
                        </w:r>
                        <w:proofErr w:type="gramEnd"/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 distinguono per l'eccezionale equilibrio.</w:t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 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"Ciò è dovuto alla capacità di bilanciare la nostra tendenza al desiderio di estrarre l'essenza del vino ottenendo più colori, più tannini, più arroganza e generando un vino che può durare nel tempo anche a distanza di 20 anni; con la consapevolezza che in definitiva desideriamo creare un vino che sia </w:t>
                        </w:r>
                        <w:r>
                          <w:rPr>
                            <w:rStyle w:val="Enfasigrassetto"/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t>bello da bere</w:t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".</w:t>
                        </w:r>
                        <w:r>
                          <w:rPr>
                            <w:rFonts w:ascii="Georgia" w:eastAsia="Times New Roman" w:hAnsi="Georgia" w:cs="Helvetica"/>
                            <w:i/>
                            <w:iCs/>
                            <w:color w:val="202020"/>
                            <w:sz w:val="23"/>
                            <w:szCs w:val="23"/>
                          </w:rPr>
                          <w:br/>
                        </w:r>
                        <w:r>
                          <w:rPr>
                            <w:rStyle w:val="Enfasicorsivo"/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 xml:space="preserve">- </w:t>
                        </w:r>
                        <w:r>
                          <w:rPr>
                            <w:rFonts w:ascii="Georgia" w:eastAsia="Times New Roman" w:hAnsi="Georgia" w:cs="Helvetica"/>
                            <w:color w:val="202020"/>
                            <w:sz w:val="23"/>
                            <w:szCs w:val="23"/>
                          </w:rPr>
                          <w:t>Natalino Fasoli -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br/>
                        </w:r>
                        <w:r>
                          <w:rPr>
                            <w:rFonts w:ascii="Helvetica" w:eastAsia="Times New Roman" w:hAnsi="Helvetica" w:cs="Helvetica"/>
                            <w:color w:val="202020"/>
                            <w:sz w:val="24"/>
                            <w:szCs w:val="24"/>
                          </w:rPr>
                          <w:br/>
                          <w:t xml:space="preserve">  </w:t>
                        </w:r>
                      </w:p>
                    </w:tc>
                  </w:tr>
                </w:tbl>
                <w:p w:rsidR="00744355" w:rsidRDefault="00744355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744355" w:rsidRDefault="0074435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86931" w:rsidRDefault="00786931">
      <w:bookmarkStart w:id="0" w:name="_GoBack"/>
      <w:bookmarkEnd w:id="0"/>
    </w:p>
    <w:sectPr w:rsidR="007869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355"/>
    <w:rsid w:val="00744355"/>
    <w:rsid w:val="00786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BFEB9D-8B57-4CAA-9C16-6EB978E42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744355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44355"/>
    <w:rPr>
      <w:color w:val="0000FF"/>
      <w:u w:val="single"/>
    </w:rPr>
  </w:style>
  <w:style w:type="character" w:styleId="Enfasicorsivo">
    <w:name w:val="Emphasis"/>
    <w:basedOn w:val="Carpredefinitoparagrafo"/>
    <w:uiPriority w:val="20"/>
    <w:qFormat/>
    <w:rsid w:val="00744355"/>
    <w:rPr>
      <w:i/>
      <w:iCs/>
    </w:rPr>
  </w:style>
  <w:style w:type="character" w:styleId="Enfasigrassetto">
    <w:name w:val="Strong"/>
    <w:basedOn w:val="Carpredefinitoparagrafo"/>
    <w:uiPriority w:val="22"/>
    <w:qFormat/>
    <w:rsid w:val="007443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711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fasoligino.us9.list-manage.com/track/click?u=956a0127cc1cce76a6e8c1308&amp;id=a87fd66332&amp;e=839199847d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467</Words>
  <Characters>2666</Characters>
  <Application>Microsoft Office Word</Application>
  <DocSecurity>0</DocSecurity>
  <Lines>22</Lines>
  <Paragraphs>6</Paragraphs>
  <ScaleCrop>false</ScaleCrop>
  <Company/>
  <LinksUpToDate>false</LinksUpToDate>
  <CharactersWithSpaces>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1</cp:revision>
  <dcterms:created xsi:type="dcterms:W3CDTF">2019-10-28T10:08:00Z</dcterms:created>
  <dcterms:modified xsi:type="dcterms:W3CDTF">2019-10-28T10:08:00Z</dcterms:modified>
</cp:coreProperties>
</file>